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GLAZBENA KULTURA – </w:t>
      </w:r>
      <w:r>
        <w:rPr>
          <w:rFonts w:cs="Times New Roman" w:ascii="Times New Roman" w:hAnsi="Times New Roman"/>
          <w:sz w:val="24"/>
          <w:szCs w:val="24"/>
        </w:rPr>
        <w:t xml:space="preserve">Danas ćemo slušati hrvatsku tradicijsku pjesmu iz Međimurja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Ljubav se ne trži.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U word dokumentu se nalazi prijevod, ukoliko su vam neke riječi nepoznate, kao i poveznica na kojoj ćete poslušati pjesmu.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34</Words>
  <Characters>186</Characters>
  <CharactersWithSpaces>220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2020-04-29T13:49:51Z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