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0864ac118fc45f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11523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DAVORINA TERSTENJAKA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1.407.056,38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1.492.789,16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1.385.197,61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1.585.343,28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92.554,12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19.944,94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42.386,11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19.944,94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42.386,11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212,5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134.940,23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 siječnja do 31. prosinca 2025. godine prihodi poslovanja ostvareni su u iznosu od 1.492.789,16 EUR. Najznačajnije povećanje prihoda poslovanja ostvareno je od tekućih pomoći proračunskim korisnicima iz proračuna koji im nije nadležan. Najznačajnije smanjenje prihoda poslovanja bilježi se na prihodima od kamata na oročena sredstva, ostale nespomenute prihode i prihode od donacija. </w:t>
      </w:r>
    </w:p>
    <w:p>
      <w:r>
        <w:t xml:space="preserve">Rashodi poslovanja u razdoblju od 1. siječnja do 31. prosinca 2025. godine ostvareni su u iznosu od 1.585.343,28 EUR. Najznačajnije povećanje rashoda poslovanja bilježi se na rashodima za plaće. Najznačajnije smanjenje rashoda poslovanja bilježi se na rashodima za materijal i energiju i rashodima za usluge.</w:t>
      </w:r>
    </w:p>
    <w:p>
      <w:r>
        <w:t xml:space="preserve">U navedenom razdoblju nema ostvarenih prihoda od prodaje nefinancijske imovine, dok su rashodi za nabavu nefinancijske imovine ostvareni u iznosu od 42.386.11 EUR. Do značajnog povećanja došlo je zbog nabave opreme CDŠ, uvođenja sustava zaštite i kontrole ulaska u zgradu te ulaganja u računalni program. U navedenom razdoblju nije bilo ostvarenih primitaka i izdataka od financijske imovine i zaduživanja. </w:t>
      </w:r>
    </w:p>
    <w:p>
      <w:r>
        <w:t xml:space="preserve">U razdoblju od 1. siječnja do 31. prosinca 2025. godine ostvaren je manjak prihoda i primitaka u iznosu od 134.940,23 EUR zbog novih pravila knjiženja prema Pravilniku o proračunskom računovodstvu (ukida se konto 193 - rashodi budućih razdoblja na koji se knjižila plaća za 12 mj.)  refundacija za bolovanje na teret HZZO-a.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1.282.150,54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1.348.628,52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w:t>
            </w:r>
          </w:p>
        </w:tc>
      </w:tr>
    </w:tbl>
    <w:p>
      <w:pPr>
        <w:spacing w:before="0" w:after="0"/>
      </w:pPr>
    </w:p>
    <w:p>
      <w:r>
        <w:t xml:space="preserve">U izvještajnom razdoblju zabilježeno je povećanje prihoda za plaće zbog veće osnovice za obračun plaća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w:t>
            </w:r>
          </w:p>
        </w:tc>
      </w:tr>
    </w:tbl>
    <w:p>
      <w:pPr>
        <w:spacing w:before="0" w:after="0"/>
      </w:pPr>
    </w:p>
    <w:p>
      <w:r>
        <w:t xml:space="preserve">U izvještajnom razdoblju došlo je do smanjena iznosa, odnosi se na prihod za nabavu lektire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dolazi do povećanja prihoda, Prihod Erasmus projekta završna isplata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119.795,71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144.124,63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w:t>
            </w:r>
          </w:p>
        </w:tc>
      </w:tr>
    </w:tbl>
    <w:p>
      <w:pPr>
        <w:spacing w:before="0" w:after="0"/>
      </w:pPr>
    </w:p>
    <w:p>
      <w:r>
        <w:t xml:space="preserve">U izvještajnom razdoblju došlo je do povećanja prihoda zbog više zaposlenih pomoćnika u nastavi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15.697,98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w:t>
            </w:r>
          </w:p>
        </w:tc>
      </w:tr>
    </w:tbl>
    <w:p>
      <w:pPr>
        <w:spacing w:before="0" w:after="0"/>
      </w:pPr>
    </w:p>
    <w:p>
      <w:r>
        <w:t xml:space="preserve">U izvještajnom razdoblju manje je službenih putovanja u inozemstvo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221,6</w:t>
            </w:r>
          </w:p>
        </w:tc>
      </w:tr>
    </w:tbl>
    <w:p>
      <w:pPr>
        <w:spacing w:before="0" w:after="0"/>
      </w:pPr>
    </w:p>
    <w:p>
      <w:r>
        <w:t xml:space="preserve">U izvještajnom razdoblju dolazi do povećanja rashoda za računalne usluge zbog uvođenja novog računovodstvenog programa.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99.714,05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U izvještajnom razdoblju došlo je do  odstupanja zbog novog knjiženja prema Pravilniku o proračunskom računovodstvu.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13.193,39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37.764,75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286,2</w:t>
            </w:r>
          </w:p>
        </w:tc>
      </w:tr>
    </w:tbl>
    <w:p>
      <w:pPr>
        <w:spacing w:before="0" w:after="0"/>
      </w:pPr>
    </w:p>
    <w:p>
      <w:r>
        <w:t xml:space="preserve">U izvještajnom razdoblju zabilježeno je značajno odstupanje u odnosu na prethodno razdoblje zbog povećanih ulaganja u nabavu računalne opreme, prateće opreme i sustava zaštite, sportske opreme i  ostale opreme za podizanje  kvalitete nastave.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134.940,23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došlo je do značajnije promjene zbog knjiženja plaća zaposlenika za razdoblje od prosinca 2024. do prosinca 2025. godine.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166.018,35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633.046,19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381,3</w:t>
            </w:r>
          </w:p>
        </w:tc>
      </w:tr>
    </w:tbl>
    <w:p>
      <w:pPr>
        <w:spacing w:before="0" w:after="0"/>
      </w:pPr>
    </w:p>
    <w:p>
      <w:r>
        <w:t xml:space="preserve">Iznos povećanja imovine odnosi se na knjiženje vrijednosti zgrade - škole i opreme koja je sa SMŽ odlukom prenesena na školu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69.452,97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809.094,06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1165,0</w:t>
            </w:r>
          </w:p>
        </w:tc>
      </w:tr>
    </w:tbl>
    <w:p>
      <w:pPr>
        <w:spacing w:before="0" w:after="0"/>
      </w:pPr>
    </w:p>
    <w:p>
      <w:r>
        <w:t xml:space="preserve">Odnosi se na knjiženje zgrade škole i radova uređenje svih sanitarnih čvorova i novih vrata.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građevinskih objekata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337.363,21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3906,5</w:t>
            </w:r>
          </w:p>
        </w:tc>
      </w:tr>
    </w:tbl>
    <w:p>
      <w:pPr>
        <w:spacing w:before="0" w:after="0"/>
      </w:pPr>
    </w:p>
    <w:p>
      <w:r>
        <w:t xml:space="preserve">Napravljen je ispravak vrijednosti zgrade škole od 1970. godine od kad je napravljena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130.979,60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Potraživanja za prihode poslovanja odnose se na potraživanja od MZOM-a za plaće i naknade za prosinac 2025. godine, prihode od pruženih usluga koji dospijevaju u siječnju 2026. godine.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Tuđa imovina dobivena na korištenje odnosi se na 2 komunikacijska razdjelnika dobivena od carneta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62.536,94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46.879,52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w:t>
            </w:r>
          </w:p>
        </w:tc>
      </w:tr>
    </w:tbl>
    <w:p>
      <w:pPr>
        <w:spacing w:before="0" w:after="0"/>
      </w:pPr>
    </w:p>
    <w:p>
      <w:r>
        <w:t xml:space="preserve">Odnosi se na namirnice za školsku kuhinju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339.697,03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smanjenja vrijednosti imovine odnosi se na iznos ispravka vrijednosti dugotrajne imovine za 2025. godinu.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364.444,81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Odnosi se opremu i radove koji su odlukom SMŽ preneseni na skolu</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10.205,36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izvještajnom razdoblju stanje dospjelih obveza na kraju izvještajnog razdoblja iznosi 10.205,36 što se odnosi na račune kojima je valuta 12. mjesec nisu plaćeni zbog plaćanja putem riznice.</w:t>
      </w:r>
    </w:p>
    <w:p/>
    <w:p>
      <w:pPr>
        <w:jc w:val="center"/>
        <w:pStyle w:val="Normal"/>
        <w:spacing w:line="240" w:lineRule="auto"/>
        <w:keepNext/>
      </w:pPr>
      <w:r>
        <w:rPr>
          <w:sz w:val="28"/>
          <w:rFonts w:ascii="Times New Roman" w:hAnsi="Times New Roman"/>
        </w:rPr>
        <w:t xml:space="preserve">Bilješka 20.</w:t>
      </w:r>
    </w:p>
    <w:p>
      <w:pPr>
        <w:jc w:val="both"/>
        <w:pStyle w:val="Normal"/>
        <w:spacing w:line="240" w:lineRule="auto"/>
      </w:pPr>
      <w:r>
        <w:rPr>
          <w:b/>
          <w:sz w:val="24"/>
          <w:rFonts w:ascii="Times New Roman" w:hAnsi="Times New Roman"/>
        </w:rPr>
        <w:t xml:space="preserve">EU izvještaj</w:t>
      </w:r>
    </w:p>
    <w:p>
      <w:r>
        <w:t xml:space="preserve">U EU izvještaju iskazani su prihodi  za projekt Erasmus završna isplata 3.736,00 EUR. Sredstva su utrošena na ostale usluge u iznosu  2.194,42 EUR</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000fe5121d1541ec" /></Relationships>
</file>