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2ac2b766f34a25" /></Relationships>
</file>

<file path=word/document.xml><?xml version="1.0" encoding="utf-8"?>
<w:document xmlns:w="http://schemas.openxmlformats.org/wordprocessingml/2006/main">
  <w:body>
    <w:tbl>
      <w:tblPr>
        <w:tblW w:w="9000" w:type="dxa"/>
        <w:tblBorders>
          <w:top w:val="nil"/>
          <w:bottom w:val="nil"/>
          <w:left w:val="nil"/>
          <w:right w:val="nil"/>
          <w:insideH w:val="nil"/>
          <w:insideV w:val="nil"/>
        </w:tblBorders>
        <w:tblCellSpacing w:w="60" w:type="dxa"/>
        <w:shd w:val="clear" w:color="auto" w:fill="E7F0F9"/>
      </w:tblPr>
      <w:tblGrid>
        <w:gridCol w:w="1200"/>
        <w:gridCol w:w="4500"/>
      </w:tblGrid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RKP broj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11523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Naziv obveznika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OSNOVNA ŠKOLA DAVORINA TERSTENJAKA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Razina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31</w:t>
            </w:r>
          </w:p>
        </w:tc>
      </w:tr>
    </w:tbl>
    <w:p>
      <w:r>
        <w:br/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BILJEŠKE UZ FINANCIJSKE IZVJEŠTAJE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ZA RAZDOBLJE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I - VI 2026.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prihodima i rashodima, primicima i izdacima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0" w:type="auto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POSLOVANJA (šifre 61+62+63+64+65+66+67+68)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730.368,39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842.022,49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115,3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POSLOVANJA (šifre 31+32+34+35+36+37+38)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810.575,53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827.352,41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102,1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 PRIHODA POSLOVANJA (šifre 6-Z005)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14.670,08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prodaje nefinancijske imovine (šifre 71+72+73+74)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nabavu nefinancijske imovine (šifre 41+42+43+44+45)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22.056,62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11.244,50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51,0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MANJAK PRIHODA OD NEFINANCIJSKE IMOVINE (šifre 4-7)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Y002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22.056,62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11.244,50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51,0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Primici od financijske imovine i zaduživanja (šifre 81+82+83+84+85)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Izdaci za financijsku imovinu i otplate zajmova (šifre 51+52+53+54+55)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VIŠAK/MANJAK PRIMITAKA OD FINANCIJSKE IMOVINE I ZADUŽIVANJA (šifre 8-5, 5-8)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X003, Y003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 PRIHODA I PRIMITAKA (šifre X678-Y345)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3.425,58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U razdoblju od 1. siječnja do 30. lipnja 2026. godine prihodi poslovanja ostvareni su u iznosu od 842.022,49 EUR. Najznačajnije povećanje prihoda poslovanja ostvareno je iz nadležnog  proračuna. </w:t>
      </w:r>
    </w:p>
    <w:p>
      <w:r>
        <w:t xml:space="preserve">Rashodi poslovanja u razdoblju od 1. siječnja do 30. lipnja 2026. godine ostvareni su u iznosu od 827.352,41 EUR. Najznačajnije povećanje rashoda je na uslugama.</w:t>
      </w:r>
    </w:p>
    <w:p>
      <w:r>
        <w:t xml:space="preserve">U navedenom razdoblju nema ostvarenih prihoda od prodaje nefinancijske imovine, dok su rashodi za nabavu nefinancijske imovine ostvareni u iznosu od 11.244,50 EUR. Do značajnog povećanja došlo je zbog nabave opreme CDŠ i dodatna ulaganja u građevinskim objektima. U navedenom razdoblju nije bilo ostvarenih primitaka i izdataka od financijske imovine i zaduživanja. </w:t>
      </w:r>
    </w:p>
    <w:p>
      <w:r>
        <w:t xml:space="preserve">U razdoblju od 1. siječnja do 30. lipnja 2026. g ostvaren je višak prihoda i primitaka u iznosu od 3.425,58 EUR zbog prihoda od Cjelodnevne škole kojji nisu utrošeni.</w:t>
      </w:r>
    </w:p>
    <w:p>
      <w:r>
        <w:br/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POSLOVANJA (šifre 61+62+63+64+65+66+67+68)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730.368,39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842.022,49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115,3</w:t>
            </w:r>
          </w:p>
        </w:tc>
      </w:tr>
    </w:tbl>
    <w:p>
      <w:pPr>
        <w:spacing w:before="0" w:after="0"/>
      </w:pPr>
    </w:p>
    <w:p>
      <w:r>
        <w:t xml:space="preserve">U izvještajnom razdoblju zabilježeno je povećanje prihoda, najznačajnije povećanje prihoda ostvareno je iz nadležnog proračuna.</w:t>
      </w:r>
    </w:p>
    <w:p>
      <w:r>
        <w:t xml:space="preserve">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Pomoći proračunskim korisnicima iz proračuna koji im nije nadležan (šifre 6361+6362)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665.334,87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736.538,91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110,7</w:t>
            </w:r>
          </w:p>
        </w:tc>
      </w:tr>
    </w:tbl>
    <w:p>
      <w:pPr>
        <w:spacing w:before="0" w:after="0"/>
      </w:pPr>
    </w:p>
    <w:p>
      <w:r>
        <w:t xml:space="preserve">U izvještajnom razdoblju zabilježeno je povećanje prihoda za plaće zbog veće osnovice za obračun plaća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663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Donacije od pravnih i fizičkih osoba izvan općeg proračuna te povrat donacija i kapitalnih pomoći po protestiranim jamstvima (šifre 6631 do 6634)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663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270,00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Prihod od donacije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iz nadležnog proračuna i od HZZO-a na temelju ugovornih obveza (šifre 671+673)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61.291,35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105.213,58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171,7</w:t>
            </w:r>
          </w:p>
        </w:tc>
      </w:tr>
    </w:tbl>
    <w:p>
      <w:pPr>
        <w:spacing w:before="0" w:after="0"/>
      </w:pPr>
    </w:p>
    <w:p>
      <w:r>
        <w:t xml:space="preserve">U izvještajnom razdoblju došlo je do povećanja prihoda zbog više zaposlenih pomoćnika u nastavi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6.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Plaće za redovan rad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593.303,39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567.239,85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95,6</w:t>
            </w:r>
          </w:p>
        </w:tc>
      </w:tr>
    </w:tbl>
    <w:p>
      <w:pPr>
        <w:spacing w:before="0" w:after="0"/>
      </w:pPr>
    </w:p>
    <w:p>
      <w:r>
        <w:t xml:space="preserve">U izvještajnom razdoblju zabilježeno je smanjenje rashoda za plaće zbog novih pravila knjiženja  prema pravilniku o proračunskom računovodstvu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7.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Službena putovanja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4.840,92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12.211,77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252,3</w:t>
            </w:r>
          </w:p>
        </w:tc>
      </w:tr>
    </w:tbl>
    <w:p>
      <w:pPr>
        <w:spacing w:before="0" w:after="0"/>
      </w:pPr>
    </w:p>
    <w:p>
      <w:r>
        <w:t xml:space="preserve">U izvještajnom razdoblju zabilježeno je povećanje rashoda za službena putovanja zbog stručnih skupova CDŠ, i ostalih službenih putovanja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8.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Zdravstvene i veterinarske usluge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21,90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1.226,18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5599,0</w:t>
            </w:r>
          </w:p>
        </w:tc>
      </w:tr>
    </w:tbl>
    <w:p>
      <w:pPr>
        <w:spacing w:before="0" w:after="0"/>
      </w:pPr>
    </w:p>
    <w:p>
      <w:r>
        <w:t xml:space="preserve">U izvještajnom razdoblju zabilježeno je povećanje rashoda zbog odlazaka zaposlenih na sistematski pregled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9.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Ostale usluge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18.142,98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50.056,60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275,9</w:t>
            </w:r>
          </w:p>
        </w:tc>
      </w:tr>
    </w:tbl>
    <w:p>
      <w:pPr>
        <w:spacing w:before="0" w:after="0"/>
      </w:pPr>
    </w:p>
    <w:p>
      <w:r>
        <w:t xml:space="preserve">U izvještajnom razdoblju zabilježeno je povećanje rashoda zbog odlazaka učenika na terensku nastavu i izleta.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10.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3295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Pristojbe i naknade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3295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1.825,66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U izvještajnom razdoblju zabilježeno je povećanje rashoda: plaćanja naknade zbog nezapošljavanja invalida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VIŠAK PRIHODA POSLOVANJA (šifre 6-Z005)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X001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14.670,08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U izvještajnom razdoblju zabilježen je višak prihoda poslovanja zbog prihoda CDŠ koji nisu još utrošeni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4227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Uređaji, strojevi i oprema za ostale namjene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4227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3.617,99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5.244,50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145,0</w:t>
            </w:r>
          </w:p>
        </w:tc>
      </w:tr>
    </w:tbl>
    <w:p>
      <w:pPr>
        <w:spacing w:before="0" w:after="0"/>
      </w:pPr>
    </w:p>
    <w:p>
      <w:r>
        <w:t xml:space="preserve">U izvještajnom razdoblju zabilježeno je značajno odstupanje u odnosu na prethodno razdoblje. nabavljeno manje opreme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451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Dodatna ulaganja na građevinskim objektima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451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6.000,00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U izvještajnom razdoblju zabilježeno je značajno odstupanje u odnosu na predhodno razdoblje zbog izade projekta energetske obnove škole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obvezama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/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Stanje obveza na kraju izvještajnog razdoblja (šifre V001+V002-V004) i (šifre V007+V009)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V006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121.768,45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Stanje obveza na kraju izvještajnog razdoblja iznose 121.768,45 EUR a sastoje se od plaća i ostalih materijalnih prava za zaposlene za lipanj 2026. godine.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/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Stanje dospjelih obveza na kraju izvještajnog razdoblja (šifre V008+D23+D24 + 'D dio 25,26' + D27)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V007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U izvještajnom razdoblju nema dospjelih obveza.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16.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/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Stanje nedospjelih obveza na kraju izvještajnog razdoblja (šifre V010 + ND23 + ND24 + 'ND dio 25,26' + ND27)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V009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121.768,45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Stanje nedospjelih obveza na kraju izvještajnog razdoblja iznose 121.768,45 EUR a sastoje se od plaća i ostalih materijalnih prava za zaposlene za lipanj 2026. godine.</w:t>
      </w:r>
    </w:p>
    <w:p/>
  </w:body>
</w:document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sz w:val="24"/>
      </w:rPr>
    </w:rPrDefault>
  </w:docDefaults>
  <w:style w:type="paragraph" w:styleId="Normal" w:default="true">
    <w:name w:val="Normal"/>
    <w:rPr>
      <w:rFonts w:ascii="Times New Roman" w:hAnsi="Times New Roman"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4638048c852a4935" /></Relationships>
</file>